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180E" w14:textId="2F892E22" w:rsidR="00F37908" w:rsidRPr="00602859" w:rsidRDefault="00F37908" w:rsidP="00F37908">
      <w:pPr>
        <w:jc w:val="center"/>
        <w:rPr>
          <w:rFonts w:ascii="Arial" w:hAnsi="Arial" w:cs="Arial"/>
          <w:b/>
          <w:bCs/>
          <w:sz w:val="28"/>
          <w:szCs w:val="28"/>
        </w:rPr>
      </w:pPr>
      <w:r w:rsidRPr="00602859">
        <w:rPr>
          <w:rFonts w:ascii="Arial" w:hAnsi="Arial" w:cs="Arial"/>
          <w:b/>
          <w:bCs/>
          <w:sz w:val="28"/>
          <w:szCs w:val="28"/>
        </w:rPr>
        <w:t>Başkan Altuğ; “</w:t>
      </w:r>
      <w:r w:rsidRPr="00602859">
        <w:rPr>
          <w:rFonts w:ascii="Arial" w:hAnsi="Arial" w:cs="Arial"/>
          <w:b/>
          <w:bCs/>
          <w:sz w:val="28"/>
          <w:szCs w:val="28"/>
        </w:rPr>
        <w:t>Sahadan aldığımız geri bildirimler, krediye erişimde hâlâ ciddi maliyetler ve zorluklar yaşandığını gösteriyor</w:t>
      </w:r>
      <w:r w:rsidRPr="00602859">
        <w:rPr>
          <w:rFonts w:ascii="Arial" w:hAnsi="Arial" w:cs="Arial"/>
          <w:b/>
          <w:bCs/>
          <w:sz w:val="28"/>
          <w:szCs w:val="28"/>
        </w:rPr>
        <w:t>”</w:t>
      </w:r>
    </w:p>
    <w:p w14:paraId="7687972F" w14:textId="5FC1E73E" w:rsidR="00D536AE" w:rsidRPr="006C505B" w:rsidRDefault="00D536AE" w:rsidP="006C505B">
      <w:pPr>
        <w:jc w:val="both"/>
        <w:rPr>
          <w:rFonts w:ascii="Arial" w:hAnsi="Arial" w:cs="Arial"/>
          <w:sz w:val="24"/>
          <w:szCs w:val="24"/>
        </w:rPr>
      </w:pPr>
      <w:r w:rsidRPr="006C505B">
        <w:rPr>
          <w:rFonts w:ascii="Arial" w:hAnsi="Arial" w:cs="Arial"/>
          <w:sz w:val="24"/>
          <w:szCs w:val="24"/>
        </w:rPr>
        <w:t>Sakarya Ticaret ve Sanayi Odası Eylül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7F63D564" w14:textId="22069592" w:rsidR="00CD2DC7" w:rsidRPr="006C505B" w:rsidRDefault="00D536AE" w:rsidP="006C505B">
      <w:pPr>
        <w:jc w:val="both"/>
        <w:rPr>
          <w:rFonts w:ascii="Arial" w:hAnsi="Arial" w:cs="Arial"/>
          <w:sz w:val="24"/>
          <w:szCs w:val="24"/>
        </w:rPr>
      </w:pPr>
      <w:r w:rsidRPr="006C505B">
        <w:rPr>
          <w:rFonts w:ascii="Arial" w:hAnsi="Arial" w:cs="Arial"/>
          <w:sz w:val="24"/>
          <w:szCs w:val="24"/>
        </w:rPr>
        <w:t>Toplantının açılış konuşmasını gerçekleştiren Meclis Başkanı Erdem Ercan şunları dile getirdi:</w:t>
      </w:r>
      <w:r w:rsidRPr="006C505B">
        <w:rPr>
          <w:rFonts w:ascii="Arial" w:hAnsi="Arial" w:cs="Arial"/>
          <w:sz w:val="24"/>
          <w:szCs w:val="24"/>
        </w:rPr>
        <w:t xml:space="preserve"> “</w:t>
      </w:r>
      <w:r w:rsidR="00CD2DC7" w:rsidRPr="006C505B">
        <w:rPr>
          <w:rFonts w:ascii="Arial" w:hAnsi="Arial" w:cs="Arial"/>
          <w:sz w:val="24"/>
          <w:szCs w:val="24"/>
        </w:rPr>
        <w:t xml:space="preserve">Bugün gerçekleştirdiğimiz Meclis Toplantımızla birlikte 3. yılımızı geride bırakmış olduk. Hep birlikte ülkemiz, ilimiz ve iş dünyamız için önemli çalışmalar yaptık, kararlar aldık ve önemli konuları dile getirdik. </w:t>
      </w:r>
    </w:p>
    <w:p w14:paraId="411A735C" w14:textId="6311195B" w:rsidR="00CD2DC7" w:rsidRPr="006C505B" w:rsidRDefault="00CD2DC7" w:rsidP="006C505B">
      <w:pPr>
        <w:jc w:val="both"/>
        <w:rPr>
          <w:rFonts w:ascii="Arial" w:hAnsi="Arial" w:cs="Arial"/>
          <w:sz w:val="24"/>
          <w:szCs w:val="24"/>
        </w:rPr>
      </w:pPr>
      <w:r w:rsidRPr="006C505B">
        <w:rPr>
          <w:rFonts w:ascii="Arial" w:hAnsi="Arial" w:cs="Arial"/>
          <w:sz w:val="24"/>
          <w:szCs w:val="24"/>
        </w:rPr>
        <w:t>3 yıllık bu süreçte siz Değerli Meclis Üyelerimizin, Meslek Komitelerimizin ve Komisyonlarımızın yapmış olduğu değerli çalışmalardan, katkılarından dolayı teşekkür ediyor, hep birlikte değerli birçok çalışma yapacağımıza da inanıyorum.</w:t>
      </w:r>
    </w:p>
    <w:p w14:paraId="2EC86518" w14:textId="32C044BC" w:rsidR="00CD2DC7" w:rsidRPr="006C505B" w:rsidRDefault="00CD2DC7" w:rsidP="006C505B">
      <w:pPr>
        <w:jc w:val="both"/>
        <w:rPr>
          <w:rFonts w:ascii="Arial" w:hAnsi="Arial" w:cs="Arial"/>
          <w:sz w:val="24"/>
          <w:szCs w:val="24"/>
        </w:rPr>
      </w:pPr>
      <w:r w:rsidRPr="006C505B">
        <w:rPr>
          <w:rFonts w:ascii="Arial" w:hAnsi="Arial" w:cs="Arial"/>
          <w:sz w:val="24"/>
          <w:szCs w:val="24"/>
        </w:rPr>
        <w:t>Gelecek hafta Cumhuriyetimizin 102. yılını kutlayacağız. Gazi Mustafa Kemal ATATÜRK başta olmak üzere, tüm şehitlerimizi ve gazilerimizi saygıyla, rahmetle anıyor ve 29 Ekim Cumhuriyet Bayramımızı Meclisimiz adına şimdiden kutluyorum.</w:t>
      </w:r>
      <w:r w:rsidRPr="006C505B">
        <w:rPr>
          <w:rFonts w:ascii="Arial" w:hAnsi="Arial" w:cs="Arial"/>
          <w:sz w:val="24"/>
          <w:szCs w:val="24"/>
        </w:rPr>
        <w:t>”</w:t>
      </w:r>
    </w:p>
    <w:p w14:paraId="0D3149B9" w14:textId="77ACE217" w:rsidR="005A41C9" w:rsidRPr="006C505B" w:rsidRDefault="005A41C9" w:rsidP="006C505B">
      <w:pPr>
        <w:jc w:val="both"/>
        <w:rPr>
          <w:rFonts w:ascii="Arial" w:hAnsi="Arial" w:cs="Arial"/>
          <w:sz w:val="24"/>
          <w:szCs w:val="24"/>
        </w:rPr>
      </w:pPr>
      <w:r w:rsidRPr="006C505B">
        <w:rPr>
          <w:rFonts w:ascii="Arial" w:hAnsi="Arial" w:cs="Arial"/>
          <w:sz w:val="24"/>
          <w:szCs w:val="24"/>
        </w:rPr>
        <w:t>Toplantının devamında yoklama ve gündem maddelerinin oylanmasına geçildi. 123</w:t>
      </w:r>
      <w:r w:rsidRPr="006C505B">
        <w:rPr>
          <w:rFonts w:ascii="Arial" w:hAnsi="Arial" w:cs="Arial"/>
          <w:sz w:val="24"/>
          <w:szCs w:val="24"/>
        </w:rPr>
        <w:t>7</w:t>
      </w:r>
      <w:r w:rsidRPr="006C505B">
        <w:rPr>
          <w:rFonts w:ascii="Arial" w:hAnsi="Arial" w:cs="Arial"/>
          <w:sz w:val="24"/>
          <w:szCs w:val="24"/>
        </w:rPr>
        <w:t xml:space="preserve"> nolu Meclis oturumuna ait tutanak görüşülerek oy birliği ile kabul edildi. </w:t>
      </w:r>
      <w:r w:rsidRPr="006C505B">
        <w:rPr>
          <w:rFonts w:ascii="Arial" w:hAnsi="Arial" w:cs="Arial"/>
          <w:sz w:val="24"/>
          <w:szCs w:val="24"/>
        </w:rPr>
        <w:t xml:space="preserve">Eylül </w:t>
      </w:r>
      <w:r w:rsidRPr="006C505B">
        <w:rPr>
          <w:rFonts w:ascii="Arial" w:hAnsi="Arial" w:cs="Arial"/>
          <w:sz w:val="24"/>
          <w:szCs w:val="24"/>
        </w:rPr>
        <w:t>ayı Kat’i Mizan ve ekleri ile Bütçe İzleme Raporu, Hesapları İnceleme Komisyonu Başkanı Tuncay Cebeci’nin sunumunun ardından oylanarak, meclis üyeleri tarafından tasdik edildi.</w:t>
      </w:r>
    </w:p>
    <w:p w14:paraId="68B67006" w14:textId="36E5F3EE" w:rsidR="00D536AE" w:rsidRPr="006C505B" w:rsidRDefault="005A41C9" w:rsidP="006C505B">
      <w:pPr>
        <w:jc w:val="both"/>
        <w:rPr>
          <w:rFonts w:ascii="Arial" w:hAnsi="Arial" w:cs="Arial"/>
          <w:sz w:val="24"/>
          <w:szCs w:val="24"/>
        </w:rPr>
      </w:pPr>
      <w:r w:rsidRPr="006C505B">
        <w:rPr>
          <w:rFonts w:ascii="Arial" w:hAnsi="Arial" w:cs="Arial"/>
          <w:sz w:val="24"/>
          <w:szCs w:val="24"/>
        </w:rPr>
        <w:t>Meclis Toplantısının devamında Yönetim Kurulu’nun aylık faaliyetleriyle ilgili bilgi veren SATSO Yönetim Kurulu Başkanı A. Akgün Altuğ şunları dile getirdi;</w:t>
      </w:r>
    </w:p>
    <w:p w14:paraId="59E5EB42" w14:textId="03FF002D"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Gazze Ateşkesi</w:t>
      </w:r>
    </w:p>
    <w:p w14:paraId="647F1CE3" w14:textId="2AF65C06" w:rsidR="00D536AE" w:rsidRPr="006C505B" w:rsidRDefault="005A41C9" w:rsidP="006C505B">
      <w:pPr>
        <w:jc w:val="both"/>
        <w:rPr>
          <w:rFonts w:ascii="Arial" w:hAnsi="Arial" w:cs="Arial"/>
          <w:sz w:val="24"/>
          <w:szCs w:val="24"/>
        </w:rPr>
      </w:pPr>
      <w:r w:rsidRPr="006C505B">
        <w:rPr>
          <w:rFonts w:ascii="Arial" w:hAnsi="Arial" w:cs="Arial"/>
          <w:sz w:val="24"/>
          <w:szCs w:val="24"/>
        </w:rPr>
        <w:t>“</w:t>
      </w:r>
      <w:r w:rsidR="00D536AE" w:rsidRPr="006C505B">
        <w:rPr>
          <w:rFonts w:ascii="Arial" w:hAnsi="Arial" w:cs="Arial"/>
          <w:sz w:val="24"/>
          <w:szCs w:val="24"/>
        </w:rPr>
        <w:t>İsrail’in Gazze’ye karşı 2023’ten bu yana sürdürdüğü, soykırım boyutuna ulaşan saldırıların ardından 10 Ekim’de nihayet ateşkes ilan edildi.</w:t>
      </w:r>
    </w:p>
    <w:p w14:paraId="7B842F77"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Anlaşmanın ardından, şükür ki Gazze’ye yardım tırları girmeye başladı. Türkiye dahil birçok ülkenin Şarm El-Şeyh Barış Zirvesi’nde ortak beyana imza atması, barış ve insani duyarlılığın yeniden güç kazandığının önemli bir göstergesidir.</w:t>
      </w:r>
    </w:p>
    <w:p w14:paraId="191DE3DD"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Temennimiz, bu sürecin kalıcı bir barışa zemin hazırlaması ve insanlık vicdanını yaralayan saldırıların bir daha asla yaşanmamasıdır.</w:t>
      </w:r>
    </w:p>
    <w:p w14:paraId="2ABB6409"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Genel Değerlendirme</w:t>
      </w:r>
    </w:p>
    <w:p w14:paraId="71F9836F"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Geride bıraktığımız dönemde küresel ekonomi, belirsizliklerle dolu bir seyir izledi. Dünya ekonomisi, jeopolitik gerginlikler, enerji ve gıda arzındaki dalgalanmalar nedeniyle belirsizliğini koruyor.</w:t>
      </w:r>
    </w:p>
    <w:p w14:paraId="0C34352F"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durum Türkiye ekonomisine de yansıyor. Hammadde fiyatları, enerji maliyetlerindeki yükseliş ve yüksek enflasyon; üretim ve yatırım kararlarını etkileyen temel unsurlar olmaya devam ediyor.</w:t>
      </w:r>
    </w:p>
    <w:p w14:paraId="49E9094A"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lastRenderedPageBreak/>
        <w:t>Enflasyonla mücadelede kararlılığın korunduğu, para politikasının dengelenmeye başladığı bu dönemde bizler de sürece katkı sağlayacak her adımı destekliyoruz. Ancak iş dünyasının, özellikle üretimin sürekliliği anlamında desteklenmesi de çok önemli.</w:t>
      </w:r>
    </w:p>
    <w:p w14:paraId="0C164516"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Sahadan aldığımız geri bildirimler, krediye erişimde hâlâ ciddi maliyetler ve zorluklar yaşandığını gösteriyor. Sıkı para politikası, fiyat istikrarı açısından önemli olsa da reel sektörün finansman yükünü artırıyor. Bu durum, mevcut ekonomik koşulların bir yansımasıdır.</w:t>
      </w:r>
    </w:p>
    <w:p w14:paraId="4D65115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Faiz oranlarının yüksek seyretmesi, yatırım planlarını erteleyen ve kapasite artırımlarını yavaşlatan bir etki yaratıyor. Fiyat istikrarına giden yolda reel sektörün üretim gücünü korumak da büyük önem taşımaktadır.</w:t>
      </w:r>
    </w:p>
    <w:p w14:paraId="39581BB7"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Özellikle KOBİ’lerimizin işletme sermayesi ihtiyaçları artıyor, tahsilat süreleri uzuyor. Ürününü sattığı hâlde parasını almakta zorlanan işletmeler, nakit akışında sıkışıyor; bu da yatırım ve büyüme planlarını doğrudan etkiliyor. Bu nedenle, finansmana daha kolay ve uygun maliyetlerle erişim, iş dünyamızın en öncelikli ihtiyaçlarından biri olmaya devam ediyor.</w:t>
      </w:r>
    </w:p>
    <w:p w14:paraId="042C09C9"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TOBB Nefes Kredisi</w:t>
      </w:r>
    </w:p>
    <w:p w14:paraId="28801061"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noktada, TOBB tarafından başarıyla uygulanan Nefes Kredisi’nin yeniden başlatılması, iş dünyamız açısından son derece olumlu bir gelişmedir.</w:t>
      </w:r>
    </w:p>
    <w:p w14:paraId="54012118"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Taleplerimizin karşılık bulmuş olmasından memnuniyet duyuyor, TOBB Başkanımız başta olmak üzere emeği geçen herkese teşekkür ediyorum.</w:t>
      </w:r>
    </w:p>
    <w:p w14:paraId="4A5F76FA"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Elbette bu uygulamanın tüm işletmelerimizin ihtiyacını karşılaması mümkün değil. Ancak ne kadar çok üyemiz bu imkândan fayda sağlayabilirse, o kadar kıymetli bir adımdır. Nefes Kredisi, işletmelerimize kısa vadede az da olsa rahatlama sağlıyor.</w:t>
      </w:r>
    </w:p>
    <w:p w14:paraId="4B6425D1"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Bizler de bu tür desteklerin devamı ve kapsamının genişletilmesi için çalışmalarımızı sürdürüyoruz. Nefes Kredisi’nin üçüncü fazının da devreye alınması ve daha fazla işletmemizin bu destekten yararlanabilmesi için elimizden gelen gayreti göstermeye devam edeceğiz.</w:t>
      </w:r>
    </w:p>
    <w:p w14:paraId="5C0BAA5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İş dünyamızın üretimden ihracata, istihdamdan inovasyona kadar tüm alanlarda güçlü bir şekilde yol alabilmesi için hem kurumlarımızla hem de yetkili mercilerle koordinasyon içinde olarak, finansman maliyetlerinin düşürülmesi ve kaynakların erişilebilir hâle gelmesi için çalışıyoruz.</w:t>
      </w:r>
    </w:p>
    <w:p w14:paraId="46922578"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Diğer taraftan da bu zorlukları bir engel değil, dönüştürücü bir motivasyon olarak görmek zorundayız; yoksa ilerleyemeyiz.</w:t>
      </w:r>
    </w:p>
    <w:p w14:paraId="6FB434F9"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Enflasyon</w:t>
      </w:r>
    </w:p>
    <w:p w14:paraId="6F612020"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Ve elbette tüm konu başlıklarımızın temeli enflasyon... Eylül ayında, bir önceki yılın aynı ayına göre TÜFE’de %33,29, ÜFE’de ise %26,59 oranında artış gerçekleşmiştir.</w:t>
      </w:r>
    </w:p>
    <w:p w14:paraId="7C1A6C9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bağlamda özellikle gıda enflasyonuna değinmek gerekiyor; çünkü gıda enflasyonu, toplumun günlük hayatını doğrudan etkiliyor.</w:t>
      </w:r>
    </w:p>
    <w:p w14:paraId="1CC43479"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lastRenderedPageBreak/>
        <w:t>Bu noktada, tarımsal üretimde verimliliği artıracak, tedarik zincirindeki israfı azaltacak ve yerli üreticiyi koruyacak adımların önemi daha da öne çıkıyor.</w:t>
      </w:r>
    </w:p>
    <w:p w14:paraId="2E1DBD2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kapsamda, güney ilçelerimizde planlanan Organize Tarım Bölgeleri Sakarya’nın gelecek projeksiyonu açısından büyük önem taşıyor. Yıllardır azalan tarımsal üretimimizi artıracak nitelikte bir proje olacağına inanıyoruz.</w:t>
      </w:r>
    </w:p>
    <w:p w14:paraId="45EF6288"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Daha önce de açıkladığım gibi, Tarım OTB ve Lojistik İhtisas OSB konusunda ilimizdeki tüm paydaşların mutabakat sağladığını da tekrar hatırlatmak isterim.</w:t>
      </w:r>
    </w:p>
    <w:p w14:paraId="0BA3C690"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OSB Uygulama Yönetmeliğinde Değişiklik</w:t>
      </w:r>
    </w:p>
    <w:p w14:paraId="25053CE9"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Geçtiğimiz hafta Organize Sanayi Bölgeleri (OSB) Uygulama Yönetmeliği’nde bir değişiklik yapıldı.</w:t>
      </w:r>
    </w:p>
    <w:p w14:paraId="54FE6BC5"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Değişiklik kapsamında, süreleri dolmuş ancak hâlâ yapı ruhsatı veya işyeri açma ve çalışma ruhsatı almamış katılımcılar, 31 Aralık 2025 tarihine kadar Sanayi ve Teknoloji Bakanlığı’na başvurmaları hâlinde, Bakanlık tarafından 31 Mart 2028 tarihine kadar ek süre alabilecekler.</w:t>
      </w:r>
    </w:p>
    <w:p w14:paraId="3F793617"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Süresi içinde başvuru yapılmayan parsellerin tahsisleri ise ilgili OSB tarafından iptal edilecektir.</w:t>
      </w:r>
    </w:p>
    <w:p w14:paraId="281CDBCF"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Yapılan bu değişiklik, özellikle ekonomik koşullar veya teknik nedenlerle yatırımlarını tamamlayamayan OSB katılımcıları açısından önemli bir fırsat sunmaktadır.</w:t>
      </w:r>
    </w:p>
    <w:p w14:paraId="76296AAA"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Söz konusu şartları karşılayan yatırımcılarımızın bu fırsatı değerlendireceğini düşünüyorum.</w:t>
      </w:r>
    </w:p>
    <w:p w14:paraId="2DEDED20"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Yapay Zekâ 2025 Verileri</w:t>
      </w:r>
    </w:p>
    <w:p w14:paraId="1BAEB7B9"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TÜİK, 1 Ekim’de Yapay Zekâ 2025 verilerini yayımladı. Rapor, Türkiye’de yapay zekâ kullanımının hızla arttığını rakamlarla destekliyor.</w:t>
      </w:r>
    </w:p>
    <w:p w14:paraId="18CAF88B"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Buna göre; girişimlerin yalnızca %7,5’i yapay zekâ teknolojilerini kullanıyor. Ancak bu oran, özellikle bazı sektörlerde yüksek seviyelere ulaşmış durumda.</w:t>
      </w:r>
    </w:p>
    <w:p w14:paraId="3DADB926"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Örneğin; bilgi ve iletişim sektörü %47, finans ve sigorta sektörü %43, profesyonel, bilimsel ve teknik hizmetler sektörü ise %42 civarındadır.</w:t>
      </w:r>
    </w:p>
    <w:p w14:paraId="4CA4B9AD"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veri, dijitalleşmeye daha yatkın sektörlerin yapay zekâ teknolojilerini daha hızlı benimsediğini gösteriyor.</w:t>
      </w:r>
    </w:p>
    <w:p w14:paraId="6673F7A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Toplumsal açıdan ise her beş kişiden biri üretken yapay zekâ araçlarını aktif biçimde değerlendiriyor. Genç nüfusta bu oran %40’a yaklaşıyor.</w:t>
      </w:r>
    </w:p>
    <w:p w14:paraId="09F02799"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Buradan da görüyoruz ki yapay zekâ artık geleceğin değil, bugünün meselesidir.</w:t>
      </w:r>
    </w:p>
    <w:p w14:paraId="5D2BC3F7"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Ancak işletmelerimizin önemli bir kısmı, maliyet, uzmanlık eksikliği ve mevzuat belirsizliği nedeniyle hâlâ bu teknolojiyi tam anlamıyla kullanamıyor. Dolayısıyla bu yeniliğin ihtiyaç duyduğu kabiliyeti üyelerimize kazandırmamız gerekiyor.</w:t>
      </w:r>
    </w:p>
    <w:p w14:paraId="7309BB16" w14:textId="0D710FA2" w:rsidR="00D536AE" w:rsidRPr="00602859" w:rsidRDefault="00D536AE" w:rsidP="006C505B">
      <w:pPr>
        <w:jc w:val="both"/>
        <w:rPr>
          <w:rFonts w:ascii="Arial" w:hAnsi="Arial" w:cs="Arial"/>
          <w:b/>
          <w:bCs/>
          <w:sz w:val="24"/>
          <w:szCs w:val="24"/>
        </w:rPr>
      </w:pPr>
      <w:r w:rsidRPr="00602859">
        <w:rPr>
          <w:rFonts w:ascii="Arial" w:hAnsi="Arial" w:cs="Arial"/>
          <w:b/>
          <w:bCs/>
          <w:sz w:val="24"/>
          <w:szCs w:val="24"/>
        </w:rPr>
        <w:t xml:space="preserve">“Üretimde Verimlilik, Dijital Dönüşüm ve E-Ticaret Merkezi” </w:t>
      </w:r>
      <w:r w:rsidR="00602859">
        <w:rPr>
          <w:rFonts w:ascii="Arial" w:hAnsi="Arial" w:cs="Arial"/>
          <w:b/>
          <w:bCs/>
          <w:sz w:val="24"/>
          <w:szCs w:val="24"/>
        </w:rPr>
        <w:t xml:space="preserve">Temeli </w:t>
      </w:r>
      <w:r w:rsidRPr="00602859">
        <w:rPr>
          <w:rFonts w:ascii="Arial" w:hAnsi="Arial" w:cs="Arial"/>
          <w:b/>
          <w:bCs/>
          <w:sz w:val="24"/>
          <w:szCs w:val="24"/>
        </w:rPr>
        <w:t>Baharda</w:t>
      </w:r>
      <w:r w:rsidR="00602859">
        <w:rPr>
          <w:rFonts w:ascii="Arial" w:hAnsi="Arial" w:cs="Arial"/>
          <w:b/>
          <w:bCs/>
          <w:sz w:val="24"/>
          <w:szCs w:val="24"/>
        </w:rPr>
        <w:t xml:space="preserve"> Atılıyor</w:t>
      </w:r>
    </w:p>
    <w:p w14:paraId="575B2B75"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lastRenderedPageBreak/>
        <w:t>Sakarya açısından bakıldığında, güçlü sanayi altyapımız, dinamik girişimcilerimiz ve genç nüfusumuz ile önemli bir avantaja sahibiz.</w:t>
      </w:r>
    </w:p>
    <w:p w14:paraId="5F9F1A11"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potansiyeli yapay zekâ ile birleştirdiğimizde, üretimden lojistiğe, tarımdan turizme ve hizmet sektörüne kadar her alanda verimlilik ve rekabet gücümüz artacaktır.</w:t>
      </w:r>
    </w:p>
    <w:p w14:paraId="75B7F3F6"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Özellikle KOBİ’lerimizin dijitalleşme sürecine destek sağlamak, üniversitelerimizle iş birliği içinde yapay zekâ tabanlı üretim ve eğitim modelleri geliştirmek ve gençlerimizi bu dönüşümün merkezine almak büyük önem taşıyor.</w:t>
      </w:r>
    </w:p>
    <w:p w14:paraId="2D1712E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Sakarya, üretimdeki gücünü artık teknolojiyle taçlandırmak zorunda.</w:t>
      </w:r>
    </w:p>
    <w:p w14:paraId="693C654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açıdan değerlendirdiğimizde, oda kampüsümüzde hayata geçirmeyi planladığımız, model fabrika olarak yola çıkıp daha geniş kapsamlı hâle getirdiğimiz “Üretimde Verimlilik, Dijital Dönüşüm ve E-Ticaret Merkezi” projesi, üyelerimizin gelişimine katkı sunacak önemli bir adımdır.</w:t>
      </w:r>
    </w:p>
    <w:p w14:paraId="4D074F2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Çünkü biliyoruz ki bugün atacağımız adımlar, yarının akıllı ve dijital Sakarya’sını inşa etmenin temelini oluşturacaktır.</w:t>
      </w:r>
    </w:p>
    <w:p w14:paraId="2C757C7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projemizin temel atma törenini 2026 yılı baharında gerçekleştirmeyi ve inşaatını da imkânlar ölçüsünde en kısa sürede tamamlamayı hedefliyoruz.</w:t>
      </w:r>
    </w:p>
    <w:p w14:paraId="3235AD04"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Projemizin kısa sunumunu Antalya Çalıştayımızda sizlere yapacağız.</w:t>
      </w:r>
    </w:p>
    <w:p w14:paraId="503B319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Ayrıca, yapay zekâ konusunda MEXT Teknoloji Merkezi ile “Yapay Zekâ Hizmet İş Birliği Protokolü” imzaladık.</w:t>
      </w:r>
    </w:p>
    <w:p w14:paraId="09EB58F6"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kapsamda, projeye katılacak tüm firmalara öz değerlendirme yoluyla yapay zekâ olgunluk seviyesi ölçümü yapılacak.</w:t>
      </w:r>
    </w:p>
    <w:p w14:paraId="24C091B0"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değerlendirme sonucunda, olgunluk seviyesi yüksek olan firmalar için yol haritası hazırlanacak ve detaylandırma çalıştayları gerçekleştirilecektir.</w:t>
      </w:r>
    </w:p>
    <w:p w14:paraId="0AA1C8E2" w14:textId="241810FE"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İ</w:t>
      </w:r>
      <w:r w:rsidR="006C505B" w:rsidRPr="00BA33DA">
        <w:rPr>
          <w:rFonts w:ascii="Arial" w:hAnsi="Arial" w:cs="Arial"/>
          <w:b/>
          <w:bCs/>
          <w:sz w:val="24"/>
          <w:szCs w:val="24"/>
        </w:rPr>
        <w:t>hracat</w:t>
      </w:r>
    </w:p>
    <w:p w14:paraId="7BA44590"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Sakarya dış ticaret verileri hakkında da kısa bilgi vermek istiyorum.</w:t>
      </w:r>
    </w:p>
    <w:p w14:paraId="680D9FB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TİM tarafından açıklanan ihracat verilerine göre ilimiz, eylül ayında geçtiğimiz yılın aynı ayına göre %2, ağustosa kıyasla ise %76,3’lük artışla 614 milyon dolarlık ihracat gerçekleştirdi.</w:t>
      </w:r>
    </w:p>
    <w:p w14:paraId="6DB634BB"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 tüm zamanların eylül ayı ve son 11 ayın ihracat rekorudur.</w:t>
      </w:r>
    </w:p>
    <w:p w14:paraId="0211DBA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Yılın üçüncü çeyreğini geride bırakırken toplam ihracatımız 4 milyar doları aştı.</w:t>
      </w:r>
    </w:p>
    <w:p w14:paraId="02254B80"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Geçtiğimiz yıla oranla 25 ana sektörün 15’inde artış kaydettik. 9 ayı baz aldığımızda tekstil ve hammaddeleri, süs bitkileri ve mamulleri, su ürünleri ve hayvansal mamuller, hububat, bakliyat, yağlı tohumlar ve mamulleri, demir ve demir dışı metaller sektörlerinde dolar bazlı kayda değer artışlar görülmektedir.</w:t>
      </w:r>
    </w:p>
    <w:p w14:paraId="6BCE243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Serbest bölgeler dâhil dünyanın 113 noktasına ihracat gerçekleştirdik.</w:t>
      </w:r>
    </w:p>
    <w:p w14:paraId="5E4F99EE"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lastRenderedPageBreak/>
        <w:t>Geçtiğimiz yıla kıyasla yüzdesel olarak 60 ülkeye ihracatımız arttı. Bunların içinde Romanya, Birleşik Krallık, İspanya, Almanya ve Fransa gibi ülkelere de dolar bazında ciddi artışlar kaydedildi.</w:t>
      </w:r>
    </w:p>
    <w:p w14:paraId="2ED116E7"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Buna ilave olarak, TÜİK tarafından açıklanan son verilere göre ilimizde ihracatın ithalatı karşılama oranı %124 olarak gerçekleşti ve 8 ayda 920 milyon dolarlık dış ticaret fazlası verdik.</w:t>
      </w:r>
    </w:p>
    <w:p w14:paraId="266874C9"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Sanayi Üretim Endeksi</w:t>
      </w:r>
    </w:p>
    <w:p w14:paraId="105506D5"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Ağustos ayında mevsim ve takvim etkisinden arındırılmış Sanayi Üretim Endeksi, bir önceki aya göre %0,4, bir önceki yılın aynı ayına göre ise %7,1 oranında artış göstermiştir.</w:t>
      </w:r>
    </w:p>
    <w:p w14:paraId="28F3DB9E"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SATSO ve SUBÜ “Mesleki ve Teknik Eğitim İş Birliği Protokolü”</w:t>
      </w:r>
    </w:p>
    <w:p w14:paraId="2E3D05C1"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Geleceğin Meslekleri ve Mesleki Eğitim Komisyonumuzun çalışmaları neticesinde, Sakarya Uygulamalı Bilimler Üniversitemiz ile mesleki ve teknik eğitimin sürekliliğini esas alan çok önemli bir protokole imza attık.</w:t>
      </w:r>
    </w:p>
    <w:p w14:paraId="76129048"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Odamızın Millî Eğitim Müdürlüğü ile yürüttüğü staj ve burs temelli “Mesleki ve Teknik Eğitim İş Birliği Protokolü”ne ek olarak hazırladığımız bu yeni iş birliği sayesinde, meslek liselerinden mezun olan öğrenciler SUBÜ Meslek Yüksekokullarını tercih etmeleri hâlinde yarım dönemlik eğitim avantajı elde edecekler.</w:t>
      </w:r>
    </w:p>
    <w:p w14:paraId="41360BD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Meslek liselerinde kazandıkları bilgi ve beceriler, üniversite düzeyinde sürdürülebilir bir mesleki gelişim hattına dönüştürülebilecek. Türkiye’ye örnek gösterilecek bir iş birliği protokolü oldu. Komisyonumuza çalışmalarından dolayı teşekkür ediyorum.</w:t>
      </w:r>
    </w:p>
    <w:p w14:paraId="51706642" w14:textId="77777777" w:rsidR="00D536AE" w:rsidRPr="00BA33DA" w:rsidRDefault="00D536AE" w:rsidP="006C505B">
      <w:pPr>
        <w:jc w:val="both"/>
        <w:rPr>
          <w:rFonts w:ascii="Arial" w:hAnsi="Arial" w:cs="Arial"/>
          <w:b/>
          <w:bCs/>
          <w:sz w:val="24"/>
          <w:szCs w:val="24"/>
        </w:rPr>
      </w:pPr>
      <w:r w:rsidRPr="00BA33DA">
        <w:rPr>
          <w:rFonts w:ascii="Arial" w:hAnsi="Arial" w:cs="Arial"/>
          <w:b/>
          <w:bCs/>
          <w:sz w:val="24"/>
          <w:szCs w:val="24"/>
        </w:rPr>
        <w:t>Kaynak Mükemmeliyet Merkezi</w:t>
      </w:r>
    </w:p>
    <w:p w14:paraId="600FCC30"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Valiliğimiz, Odamız, Sakarya Üniversitesi, Sakarya Teknokent, Doğu Marmara Kalkınma Ajansı ve Millî Eğitim Müdürlüğü ortaklığı ile kaynak teknolojileri alanında “Kaynak Mükemmeliyet Merkezi” kurulmasına yönelik bir çalışmamız var.</w:t>
      </w:r>
    </w:p>
    <w:p w14:paraId="591941F3" w14:textId="77777777" w:rsidR="00D536AE" w:rsidRPr="006C505B" w:rsidRDefault="00D536AE" w:rsidP="006C505B">
      <w:pPr>
        <w:jc w:val="both"/>
        <w:rPr>
          <w:rFonts w:ascii="Arial" w:hAnsi="Arial" w:cs="Arial"/>
          <w:sz w:val="24"/>
          <w:szCs w:val="24"/>
        </w:rPr>
      </w:pPr>
      <w:r w:rsidRPr="006C505B">
        <w:rPr>
          <w:rFonts w:ascii="Arial" w:hAnsi="Arial" w:cs="Arial"/>
          <w:sz w:val="24"/>
          <w:szCs w:val="24"/>
        </w:rPr>
        <w:t>Proje, Kalkınma Ajansı tarafından onaylandı.</w:t>
      </w:r>
    </w:p>
    <w:p w14:paraId="6F0B5757" w14:textId="440BF0C3" w:rsidR="004E519F" w:rsidRPr="006C505B" w:rsidRDefault="00D536AE" w:rsidP="006C505B">
      <w:pPr>
        <w:jc w:val="both"/>
        <w:rPr>
          <w:rFonts w:ascii="Arial" w:hAnsi="Arial" w:cs="Arial"/>
          <w:sz w:val="24"/>
          <w:szCs w:val="24"/>
        </w:rPr>
      </w:pPr>
      <w:r w:rsidRPr="006C505B">
        <w:rPr>
          <w:rFonts w:ascii="Arial" w:hAnsi="Arial" w:cs="Arial"/>
          <w:sz w:val="24"/>
          <w:szCs w:val="24"/>
        </w:rPr>
        <w:t>Bu kapsamda proje yalnızca simülasyon ve teorik eğitimle sınırlı kalmayacak; aynı zamanda Geleceğin Meslekleri ve Mesleki Eğitim Komisyonumuz öncülüğünde imzaladığımız protokolle altyapısını güçlendireceğimiz Ümit Erdal Mesleki ve Teknik Anadolu Lisesi bünyesinde kurulacak atölyede, gelişmiş kaynak makineleri ile uygulamalı eğitim sağlanacak ve katılımcılara sertifika verilecektir.</w:t>
      </w:r>
      <w:r w:rsidR="005A41C9" w:rsidRPr="006C505B">
        <w:rPr>
          <w:rFonts w:ascii="Arial" w:hAnsi="Arial" w:cs="Arial"/>
          <w:sz w:val="24"/>
          <w:szCs w:val="24"/>
        </w:rPr>
        <w:t>”</w:t>
      </w:r>
    </w:p>
    <w:sectPr w:rsidR="004E519F" w:rsidRPr="006C50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78"/>
    <w:rsid w:val="00224478"/>
    <w:rsid w:val="004E519F"/>
    <w:rsid w:val="005A41C9"/>
    <w:rsid w:val="00602859"/>
    <w:rsid w:val="006C505B"/>
    <w:rsid w:val="00BA33DA"/>
    <w:rsid w:val="00CD2DC7"/>
    <w:rsid w:val="00D536AE"/>
    <w:rsid w:val="00F169CB"/>
    <w:rsid w:val="00F379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0FB2"/>
  <w15:chartTrackingRefBased/>
  <w15:docId w15:val="{40D69B13-09B1-4620-A976-6242FDB5C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9859">
      <w:bodyDiv w:val="1"/>
      <w:marLeft w:val="0"/>
      <w:marRight w:val="0"/>
      <w:marTop w:val="0"/>
      <w:marBottom w:val="0"/>
      <w:divBdr>
        <w:top w:val="none" w:sz="0" w:space="0" w:color="auto"/>
        <w:left w:val="none" w:sz="0" w:space="0" w:color="auto"/>
        <w:bottom w:val="none" w:sz="0" w:space="0" w:color="auto"/>
        <w:right w:val="none" w:sz="0" w:space="0" w:color="auto"/>
      </w:divBdr>
    </w:div>
    <w:div w:id="811674151">
      <w:bodyDiv w:val="1"/>
      <w:marLeft w:val="0"/>
      <w:marRight w:val="0"/>
      <w:marTop w:val="0"/>
      <w:marBottom w:val="0"/>
      <w:divBdr>
        <w:top w:val="none" w:sz="0" w:space="0" w:color="auto"/>
        <w:left w:val="none" w:sz="0" w:space="0" w:color="auto"/>
        <w:bottom w:val="none" w:sz="0" w:space="0" w:color="auto"/>
        <w:right w:val="none" w:sz="0" w:space="0" w:color="auto"/>
      </w:divBdr>
    </w:div>
    <w:div w:id="13492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1814</Words>
  <Characters>10345</Characters>
  <Application>Microsoft Office Word</Application>
  <DocSecurity>0</DocSecurity>
  <Lines>86</Lines>
  <Paragraphs>24</Paragraphs>
  <ScaleCrop>false</ScaleCrop>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2025-10-23T08:41:00Z</dcterms:created>
  <dcterms:modified xsi:type="dcterms:W3CDTF">2025-10-23T08:48:00Z</dcterms:modified>
</cp:coreProperties>
</file>